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南银理财珠联璧合鑫逸稳两年59期封闭式公募人民币理财产品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ZZ700322303731</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Z7003224000024(投资者可依据该编码在中国理财网www.chinawealth.com.cn查询理财产品相关信息）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A份额：Y60059</w:t>
            </w:r>
          </w:p>
          <w:p>
            <w:pPr>
              <w:spacing w:line="200" w:lineRule="exact"/>
              <w:rPr>
                <w:rFonts w:hint="eastAsia" w:ascii="宋体" w:hAnsi="宋体" w:eastAsia="宋体" w:cs="宋体"/>
                <w:sz w:val="18"/>
              </w:rPr>
            </w:pPr>
            <w:r>
              <w:rPr>
                <w:rFonts w:hint="eastAsia" w:ascii="宋体" w:hAnsi="宋体" w:eastAsia="宋体" w:cs="宋体"/>
                <w:sz w:val="18"/>
                <w:szCs w:val="18"/>
              </w:rPr>
              <w:t>B份额：Y61059</w:t>
            </w:r>
          </w:p>
          <w:p>
            <w:pPr>
              <w:spacing w:line="200" w:lineRule="exact"/>
              <w:rPr>
                <w:rFonts w:hint="eastAsia" w:ascii="宋体" w:hAnsi="宋体" w:eastAsia="宋体" w:cs="宋体"/>
                <w:sz w:val="18"/>
              </w:rPr>
            </w:pPr>
            <w:r>
              <w:rPr>
                <w:rFonts w:hint="eastAsia" w:ascii="宋体" w:hAnsi="宋体" w:eastAsia="宋体" w:cs="宋体"/>
                <w:sz w:val="18"/>
                <w:szCs w:val="18"/>
              </w:rPr>
              <w:t>C份额：Y62059</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本理财产品规模上限为50亿元。理财产品管理人有权对上述规模上限根据实际业务需求进行调整。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根据理财产品管理人对理财产品的内部风险评估，本理财产品风险等级为中低风险（本风险等级为管理人内部风险评估结果，仅供参考）。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徽商银行股份有限公司、杭州银行股份有限公司、温州银行股份有限公司、汉口银行股份有限公司、长沙银行股份有限公司、天津农村商业银行股份有限公司（代发客户）、宁波通商银行股份有限公司、中邮邮惠万家银行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C份额：日照银行股份有限公司。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2024年01月31日 09:00—2024年02月06日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2024年02月07日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2024年02月07日—实际到期日（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756天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2026年03月04日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1、信托贷款：资产类型为信托公司设立的固定收益类信托计划，底层资产为向融资人邳州市产业投资控股集团有限公司发放信托贷款，融资人评级为AA+（评级机构为中诚信国际信用评级有限责任公司）。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3、信托贷款：资产类型为信托公司设立的固定收益类信托计划，底层资产为向融资人徐州金龙湖控股集团有限公司发放信托贷款，融资人评级为AA（评级机构为联合资信评估股份有限公司）。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4、信托贷款：资产类型为信托公司设立的固定收益类信托计划，底层资产为向融资人无锡惠山高科集团有限公司发放信托贷款，融资人评级为AA+（评级机构为上海新世纪资信评估投资服务有限公司）。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A份额：业绩比较基准为年化3.5%-4.1%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B份额：业绩比较基准为年化3.6%-4.2%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C份额：业绩比较基准为年化3.7%-4.3%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A份额：固定管理费年化0.3%</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在3.5%（含）（年化，即产品该份额对应的业绩报酬计提基准）至4.1%（不含）之间的部分，管理人将按超过3.5%部分的50%收取业绩报酬；在4.1%（含）（年化，即产品该份额对应的业绩报酬计提基准）以上的部分，管理人将按超过4.1%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在3.6%（含）（年化，即产品该份额对应的业绩报酬计提基准）至4.2%（不含）之间的部分，管理人将按超过3.6%部分的50%收取业绩报酬；在4.2%（含）（年化，即产品该份额对应的业绩报酬计提基准）以上的部分，管理人将按超过4.2%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在3.7%（含）（年化，即产品该份额对应的业绩报酬计提基准）至4.3%（不含）之间的部分，管理人将按超过3.7%部分的50%收取业绩报酬；在4.3%（含）（年化，即产品该份额对应的业绩报酬计提基准）以上的部分，管理人将按超过4.3%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青岛银行股份有限公司、杭州银行股份有限公司、汉口银行股份有限公司、嘉兴银行股份有限公司、江苏常熟农村商业银行股份有限公司、江苏苏州农村商业银行股份有限公司、长沙银行股份有限公司、厦门银行股份有限公司、秦皇岛银行股份有限公司、泰安银行股份有限公司、宁波东海银行股份有限公司、齐鲁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中邮邮惠万家银行有限责任公司、日照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国联基金管理有限公司、江苏省国际信托有限责任公司、平安资产管理有限责任公司、太平洋资产管理有限责任公司、中国对外经济贸易信托有限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w:t>
            </w:r>
          </w:p>
          <w:p>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国联基金管理有限公司、江苏省国际信托有限责任公司、中国对外经济贸易信托有限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国联基金管理有限公司成立于2013年05月31日，注册资本金11.5亿元。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平安资产管理有限责任公司成立于2005年05月27日，注册资本金15亿元。</w:t>
            </w:r>
          </w:p>
          <w:p>
            <w:pPr>
              <w:spacing w:line="200" w:lineRule="exact"/>
            </w:pPr>
            <w:r>
              <w:rPr>
                <w:rFonts w:ascii="方正黑体_GBK" w:hAnsi="方正黑体_GBK" w:eastAsia="方正黑体_GBK" w:cs="宋体"/>
                <w:sz w:val="18"/>
                <w:szCs w:val="18"/>
              </w:rPr>
              <w:t>太平洋资产管理有限责任公司成立于2006年06月09日，注册资本金21亿元。</w:t>
            </w:r>
          </w:p>
          <w:p>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南银理财珠联璧合鑫逸稳两年59期封闭式公募人民币理财产品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产品份额净值=产品资产净值/产品总份额。投资者按该份额净值进行理财产品认购、申购和赎回、获得到期/终止时分配。产品份额净值按去尾法保留</w:t>
      </w:r>
      <w:r>
        <w:rPr>
          <w:rFonts w:hint="eastAsia" w:ascii="方正黑体_GBK" w:hAnsi="方正黑体_GBK" w:eastAsia="方正黑体_GBK"/>
          <w:bCs/>
          <w:color w:val="3D3D3D"/>
          <w:kern w:val="0"/>
          <w:sz w:val="15"/>
          <w:szCs w:val="15"/>
          <w:highlight w:val="none"/>
          <w:lang w:val="en-US" w:eastAsia="zh-CN"/>
        </w:rPr>
        <w:t>4</w:t>
      </w:r>
      <w:r>
        <w:rPr>
          <w:rFonts w:ascii="方正黑体_GBK" w:hAnsi="方正黑体_GBK" w:eastAsia="方正黑体_GBK"/>
          <w:bCs/>
          <w:color w:val="3D3D3D"/>
          <w:kern w:val="0"/>
          <w:sz w:val="15"/>
          <w:szCs w:val="15"/>
          <w:highlight w:val="none"/>
        </w:rPr>
        <w:t>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B3546B"/>
    <w:multiLevelType w:val="multilevel"/>
    <w:tmpl w:val="65B3546B"/>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1">
    <w:nsid w:val="65B35476"/>
    <w:multiLevelType w:val="multilevel"/>
    <w:tmpl w:val="65B35476"/>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5B35481"/>
    <w:multiLevelType w:val="multilevel"/>
    <w:tmpl w:val="65B35481"/>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abstractNum w:abstractNumId="3">
    <w:nsid w:val="65B3548C"/>
    <w:multiLevelType w:val="multilevel"/>
    <w:tmpl w:val="65B3548C"/>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153F5770"/>
    <w:rsid w:val="74C145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qFormat/>
    <w:uiPriority w:val="0"/>
    <w:rPr>
      <w:b/>
    </w:rPr>
  </w:style>
  <w:style w:type="paragraph" w:customStyle="1" w:styleId="15">
    <w:name w:val="Normald37b554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a1e96836"/>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de07553e"/>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31b2aa17"/>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e7c85c4e"/>
    <w:uiPriority w:val="0"/>
  </w:style>
  <w:style w:type="paragraph" w:customStyle="1" w:styleId="20">
    <w:name w:val="toc 119f2e393"/>
    <w:basedOn w:val="15"/>
    <w:next w:val="1"/>
    <w:uiPriority w:val="0"/>
  </w:style>
  <w:style w:type="paragraph" w:customStyle="1" w:styleId="21">
    <w:name w:val="toc 258f05068"/>
    <w:basedOn w:val="15"/>
    <w:next w:val="1"/>
    <w:uiPriority w:val="0"/>
    <w:pPr>
      <w:ind w:left="420"/>
    </w:pPr>
  </w:style>
  <w:style w:type="paragraph" w:customStyle="1" w:styleId="22">
    <w:name w:val="toc 361954bd0"/>
    <w:basedOn w:val="15"/>
    <w:next w:val="1"/>
    <w:uiPriority w:val="0"/>
    <w:pPr>
      <w:ind w:left="840"/>
    </w:pPr>
  </w:style>
  <w:style w:type="paragraph" w:customStyle="1" w:styleId="23">
    <w:name w:val="toc 48ba26403"/>
    <w:basedOn w:val="15"/>
    <w:next w:val="1"/>
    <w:uiPriority w:val="0"/>
    <w:pPr>
      <w:ind w:left="1260"/>
    </w:pPr>
  </w:style>
  <w:style w:type="paragraph" w:customStyle="1" w:styleId="24">
    <w:name w:val="toc 5465d7d8b"/>
    <w:basedOn w:val="15"/>
    <w:next w:val="1"/>
    <w:uiPriority w:val="0"/>
    <w:pPr>
      <w:ind w:left="1680"/>
    </w:pPr>
  </w:style>
  <w:style w:type="paragraph" w:customStyle="1" w:styleId="25">
    <w:name w:val="headerb4203f88"/>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3208e4ec"/>
    <w:basedOn w:val="15"/>
    <w:uiPriority w:val="0"/>
    <w:pPr>
      <w:tabs>
        <w:tab w:val="center" w:pos="4153"/>
        <w:tab w:val="right" w:pos="8307"/>
      </w:tabs>
      <w:adjustRightInd/>
      <w:snapToGrid w:val="0"/>
      <w:contextualSpacing w:val="0"/>
      <w:jc w:val="left"/>
    </w:pPr>
    <w:rPr>
      <w:sz w:val="18"/>
    </w:rPr>
  </w:style>
  <w:style w:type="character" w:customStyle="1" w:styleId="27">
    <w:name w:val="Strong9b3233da"/>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fd7a48a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88e1fe43"/>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f8477d74"/>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985c471"/>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543a820e"/>
    <w:uiPriority w:val="0"/>
  </w:style>
  <w:style w:type="paragraph" w:customStyle="1" w:styleId="34">
    <w:name w:val="Normal Indentebd6e50e"/>
    <w:basedOn w:val="29"/>
    <w:uiPriority w:val="0"/>
    <w:pPr>
      <w:ind w:firstLine="200" w:firstLineChars="200"/>
    </w:pPr>
  </w:style>
  <w:style w:type="paragraph" w:customStyle="1" w:styleId="35">
    <w:name w:val="toc 501e7e2ed"/>
    <w:basedOn w:val="29"/>
    <w:next w:val="1"/>
    <w:uiPriority w:val="0"/>
    <w:pPr>
      <w:ind w:left="1680"/>
    </w:pPr>
  </w:style>
  <w:style w:type="paragraph" w:customStyle="1" w:styleId="36">
    <w:name w:val="toc 333a09a1b"/>
    <w:basedOn w:val="29"/>
    <w:next w:val="1"/>
    <w:uiPriority w:val="0"/>
    <w:pPr>
      <w:ind w:left="840"/>
    </w:pPr>
  </w:style>
  <w:style w:type="paragraph" w:customStyle="1" w:styleId="37">
    <w:name w:val="footer3152ccb5"/>
    <w:basedOn w:val="29"/>
    <w:uiPriority w:val="0"/>
    <w:pPr>
      <w:tabs>
        <w:tab w:val="center" w:pos="4153"/>
        <w:tab w:val="right" w:pos="8307"/>
      </w:tabs>
      <w:adjustRightInd/>
      <w:snapToGrid w:val="0"/>
      <w:contextualSpacing w:val="0"/>
      <w:jc w:val="left"/>
    </w:pPr>
    <w:rPr>
      <w:sz w:val="18"/>
    </w:rPr>
  </w:style>
  <w:style w:type="paragraph" w:customStyle="1" w:styleId="38">
    <w:name w:val="header330a0498"/>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9714ee49"/>
    <w:basedOn w:val="29"/>
    <w:next w:val="1"/>
    <w:uiPriority w:val="0"/>
  </w:style>
  <w:style w:type="paragraph" w:customStyle="1" w:styleId="40">
    <w:name w:val="toc 44f185028"/>
    <w:basedOn w:val="29"/>
    <w:next w:val="1"/>
    <w:qFormat/>
    <w:uiPriority w:val="0"/>
    <w:pPr>
      <w:ind w:left="1260"/>
    </w:pPr>
  </w:style>
  <w:style w:type="paragraph" w:customStyle="1" w:styleId="41">
    <w:name w:val="toc 262677b60"/>
    <w:basedOn w:val="29"/>
    <w:next w:val="1"/>
    <w:uiPriority w:val="0"/>
    <w:pPr>
      <w:ind w:left="420"/>
    </w:pPr>
  </w:style>
  <w:style w:type="paragraph" w:customStyle="1" w:styleId="42">
    <w:name w:val="Normal (Web)fca9735c"/>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a7a087fda7a087f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9d2b2e3f9d2b2e3f"/>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1ede32681ede3268"/>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1026a58a1026a58a"/>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8a8b8c258a8b8c2"/>
    <w:uiPriority w:val="0"/>
  </w:style>
  <w:style w:type="paragraph" w:customStyle="1" w:styleId="49">
    <w:name w:val="引文目录1beefd76ebeefd76e"/>
    <w:basedOn w:val="44"/>
    <w:next w:val="1"/>
    <w:uiPriority w:val="0"/>
    <w:pPr>
      <w:ind w:left="200" w:leftChars="200"/>
    </w:pPr>
  </w:style>
  <w:style w:type="paragraph" w:customStyle="1" w:styleId="50">
    <w:name w:val="toc 57dae624b7dae624b"/>
    <w:basedOn w:val="44"/>
    <w:next w:val="1"/>
    <w:uiPriority w:val="0"/>
    <w:pPr>
      <w:ind w:left="1680"/>
    </w:pPr>
  </w:style>
  <w:style w:type="paragraph" w:customStyle="1" w:styleId="51">
    <w:name w:val="toc 3a79c1684a79c1684"/>
    <w:basedOn w:val="44"/>
    <w:next w:val="1"/>
    <w:qFormat/>
    <w:uiPriority w:val="0"/>
    <w:pPr>
      <w:ind w:left="840"/>
    </w:pPr>
  </w:style>
  <w:style w:type="paragraph" w:customStyle="1" w:styleId="52">
    <w:name w:val="footer55e7a08555e7a085"/>
    <w:basedOn w:val="44"/>
    <w:uiPriority w:val="0"/>
    <w:pPr>
      <w:tabs>
        <w:tab w:val="center" w:pos="4153"/>
        <w:tab w:val="right" w:pos="8307"/>
      </w:tabs>
      <w:adjustRightInd/>
      <w:snapToGrid w:val="0"/>
      <w:contextualSpacing w:val="0"/>
      <w:jc w:val="left"/>
    </w:pPr>
    <w:rPr>
      <w:sz w:val="18"/>
    </w:rPr>
  </w:style>
  <w:style w:type="paragraph" w:customStyle="1" w:styleId="53">
    <w:name w:val="headercba54850cba54850"/>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0d11058b0d11058b"/>
    <w:basedOn w:val="44"/>
    <w:next w:val="1"/>
    <w:uiPriority w:val="0"/>
  </w:style>
  <w:style w:type="paragraph" w:customStyle="1" w:styleId="55">
    <w:name w:val="toc 4a78f372aa78f372a"/>
    <w:basedOn w:val="44"/>
    <w:next w:val="1"/>
    <w:uiPriority w:val="0"/>
    <w:pPr>
      <w:ind w:left="1260"/>
    </w:pPr>
  </w:style>
  <w:style w:type="paragraph" w:customStyle="1" w:styleId="56">
    <w:name w:val="toc 2fdce979ffdce979f"/>
    <w:basedOn w:val="44"/>
    <w:next w:val="1"/>
    <w:uiPriority w:val="0"/>
    <w:pPr>
      <w:ind w:left="420"/>
    </w:pPr>
  </w:style>
  <w:style w:type="paragraph" w:customStyle="1" w:styleId="57">
    <w:name w:val="列出段落17e49c7e57e49c7e5"/>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Pages>
  <Words>4074</Words>
  <Characters>4086</Characters>
  <Lines>77</Lines>
  <Paragraphs>27</Paragraphs>
  <TotalTime>0</TotalTime>
  <ScaleCrop>false</ScaleCrop>
  <LinksUpToDate>false</LinksUpToDate>
  <CharactersWithSpaces>4087</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2024-01-30T04:17:47Z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